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Fyodor Dostoevsky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Underground Man: An Anti-hero in an Anti-Novel as an Antidote. But an antidote to what?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'“Round and Round We Go”: the role of reversed chronological structure in Dostoevsky’s “Notes from Underground”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“Petersburg, the Most Abstract and Intentional City on the Entire Globe”: role of geographical location in Dostoevsky’s “Notes from Underground”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How Did the Mouse Turn Spiteful: Exploring the Demoralizing Aspects of “Heightened Consciousness” in Dostoevsky’s “Notes from Underground”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On Toothache, Liver Pains, and Other Bodily Maladies: role of physical Illness in Underground Man’s anti-ideological stance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Shooting Oneself in The Foot: what Underground Man can teach us about the phenomenon of self-sabotage as a “cure” for existential boredom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“I Let My Tongue Run Away In […] Ineffable Noble Refinement:” exploring the elements of 19th-century Romanticism in Underground Man’s social performance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“The Party Don’t Start Til I Walk In”: what the scene at Zverkov’s farewell party can add to our conception of humans as “(inherently?) social creatures”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Why We Do What We Do: evaluating the effectiveness of Underground Man’s philosophy as a critique of rational egoism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More That One Face: what the character of Liza adds to the notion of a ‘suffering outsider’ in Dostoevsky’s “Notes from Underground”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“He Dreamed of Faith, Hope, and Love. And Then He Dreamed Up Her:” re-framing Underground Man’s encounter with Liza as a figment of his imagination, and what such reconceptualization can add to our understanding of the text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